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Záznam o knížce pro děti a dospívající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(z LPDM i další vhodné literatury, i  zahraniční)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Student: Linda Štencová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zkratka semináře: Dčl</w:t>
        <w:tab/>
        <w:tab/>
        <w:tab/>
        <w:tab/>
        <w:t xml:space="preserve">Vase spojení: lindastencova@gmail.com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bidiVisual w:val="0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50.6356572978048"/>
        <w:gridCol w:w="6171.417844292644"/>
        <w:gridCol w:w="403.45830943317526"/>
        <w:tblGridChange w:id="0">
          <w:tblGrid>
            <w:gridCol w:w="2450.6356572978048"/>
            <w:gridCol w:w="6171.417844292644"/>
            <w:gridCol w:w="403.45830943317526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Olga Černá, Edgar Dutka, Magdaléna Platzová, ...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název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Jinde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vydavatel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Meta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místo, rok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počet stran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 (cena)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2016, 132 s., 180 Kč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typ ilustrací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trojbarevné, neinfantilní kresby k tématu migrace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 co v knize jde (ne o čem je!)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V knize jde zejména o seznámení mladých čtenářů s problematikou migrace, a to nikoliv skrze text výchovný, ale nenásilně – skrze text s vysokou literární hodnotou. Jedná se o první krásnou literaturu iniciovanou neziskovou organizací Meta. Ta se dlouhodobě zabývá integrací mladých imigrantů do společnosti, a proto společně s nakladatelstvím Baobab oslovili 7 českých spisovatelů s nabídkou podílet se na tomto projektu. Vznikl zcela unikátní soubor povídek reflektující migraci z různých úhlů pohledu.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klíčové problémy, situace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Klíčovým tématem knihy je situace mladého cizince v nové zemi a s ní spojená cesta. Povídky přibližují jednotlivé příběhy migrantů a zároveň čtenáře seznamují s různými typy migrace, která je podána jako problém dlouhodobý, zasazený do kontextu dějin, nikoli jako otázka 21. století. Proudy informací, které na mladé čtenáře dnes a denně doléhají z různých typů médií, nabývají v tomto souboru povídek skutečné, lidské hodnoty a skýtají bohatý pedagogický potenciál.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doporučující vyjádření pro kolegy (proč je vhodné knihu dát žákům, co s ní sledovat a dělat atp., vč. ohledu k věku čtenářů)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V dnešní době je velice důležité filtrovat informace, které se nejen na dospělé, ale i na děti valí ze všech stran. K této filtraci by mělo mimo jiné docházet i ve škole, kde by se měl učitel navíc pokoušet dětem danou problematiku vysvětlit. Kniha </w:t>
            </w:r>
            <w:r w:rsidDel="00000000" w:rsidR="00000000" w:rsidRPr="00000000">
              <w:rPr>
                <w:i w:val="1"/>
                <w:rtl w:val="0"/>
              </w:rPr>
              <w:t xml:space="preserve">Jinde</w:t>
            </w:r>
            <w:r w:rsidDel="00000000" w:rsidR="00000000" w:rsidRPr="00000000">
              <w:rPr>
                <w:rtl w:val="0"/>
              </w:rPr>
              <w:t xml:space="preserve"> je skvělým materiálem k iniciaci debaty, ať již v hodinách občanské nauky či literatury. Řeší jednu z nejaktuálnějších společenských otázek – migraci. Ta rozděluje občany na dva neslučitelné tábory, přičemž tato tendence doléhá mnohdy prostřednictvím rodičů až k dětem. Je tedy nasnadě problém nastínit, nejlépe však rozebrat. V textu jsou relativizovány pojmy „cizinec“ a „našinec“ a jednotlivé lidské příběhy nabízejí čtenáři jisté ztotožnění se s jejich aktéry. Kniha je vhodná nejen z hlediska tématu, ale i z hlediska formy – skýtá totiž veliký potenciál i k výuce literární teorie. Každá povídka je psána jiným autorem, liší se tedy i její styl. Obsahuje různé typy vyprávění a příběhů a různé úhly pohledu na danou problematiku. Kromě „výchovné“ funkce disponuje i vysokou literární kvalitou. Je vhodná pro studenty druhého stupně, kteří jsou již schopni nad knihou diskutovat a vůbec pochopit, o čem podává svědectví.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